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DBEC" w14:textId="77777777" w:rsidR="008133B1" w:rsidRPr="00C92A66" w:rsidRDefault="00520FAD" w:rsidP="008133B1">
      <w:pPr>
        <w:pStyle w:val="Heading3"/>
      </w:pPr>
      <w:r w:rsidRPr="00C92A66">
        <w:t>Instructions</w:t>
      </w:r>
      <w:r w:rsidR="00EE246F" w:rsidRPr="00C92A66">
        <w:t xml:space="preserve">: </w:t>
      </w:r>
    </w:p>
    <w:p w14:paraId="11A81069" w14:textId="533AA76A" w:rsidR="00EE246F" w:rsidRPr="00C92A66" w:rsidRDefault="00422040" w:rsidP="008133B1">
      <w:r>
        <w:t xml:space="preserve">This </w:t>
      </w:r>
      <w:r w:rsidR="00A25979">
        <w:t xml:space="preserve">Programmatic Quick Reference Guide (PQR) </w:t>
      </w:r>
      <w:r>
        <w:t xml:space="preserve">is provided as a </w:t>
      </w:r>
      <w:r w:rsidR="00DB08DA">
        <w:t xml:space="preserve">quick </w:t>
      </w:r>
      <w:r>
        <w:t xml:space="preserve">reference </w:t>
      </w:r>
      <w:r w:rsidR="00DB08DA">
        <w:t xml:space="preserve">guide </w:t>
      </w:r>
      <w:r>
        <w:t xml:space="preserve">to </w:t>
      </w:r>
      <w:r w:rsidR="002A0C09">
        <w:t>Vocational Rehabilitation (</w:t>
      </w:r>
      <w:r w:rsidR="003A2C9D">
        <w:t>VR</w:t>
      </w:r>
      <w:r w:rsidR="002A0C09">
        <w:t>)</w:t>
      </w:r>
      <w:r w:rsidR="003A2C9D">
        <w:t xml:space="preserve"> staff</w:t>
      </w:r>
      <w:r>
        <w:t xml:space="preserve"> and </w:t>
      </w:r>
      <w:r w:rsidR="00E01E93">
        <w:t>vendors</w:t>
      </w:r>
      <w:r>
        <w:t xml:space="preserve"> outlining recent changes made to </w:t>
      </w:r>
      <w:r w:rsidR="003A2C9D">
        <w:t>Self-Advocacy Training Services</w:t>
      </w:r>
      <w:r w:rsidR="7A9E7D53">
        <w:t xml:space="preserve"> specific to the </w:t>
      </w:r>
      <w:r w:rsidR="002A0C09">
        <w:t>Aware</w:t>
      </w:r>
      <w:r w:rsidR="7A9E7D53">
        <w:t xml:space="preserve"> system</w:t>
      </w:r>
      <w:r>
        <w:t xml:space="preserve">. </w:t>
      </w:r>
    </w:p>
    <w:p w14:paraId="773A183C" w14:textId="77777777" w:rsidR="008133B1" w:rsidRPr="00C92A66" w:rsidRDefault="00520FAD" w:rsidP="008133B1">
      <w:pPr>
        <w:pStyle w:val="Heading3"/>
      </w:pPr>
      <w:r w:rsidRPr="00C92A66">
        <w:t xml:space="preserve">Topic Summary: </w:t>
      </w:r>
    </w:p>
    <w:p w14:paraId="06A4AB3D" w14:textId="4D930014" w:rsidR="00DB08DA" w:rsidRPr="00C92A66" w:rsidRDefault="003A2C9D" w:rsidP="00DB08DA">
      <w:pPr>
        <w:spacing w:after="27" w:line="250" w:lineRule="auto"/>
      </w:pPr>
      <w:r w:rsidRPr="00C92A66">
        <w:rPr>
          <w:color w:val="000000"/>
          <w:shd w:val="clear" w:color="auto" w:fill="FFFFFF"/>
        </w:rPr>
        <w:t>This</w:t>
      </w:r>
      <w:r w:rsidR="00A25979">
        <w:rPr>
          <w:color w:val="000000"/>
          <w:shd w:val="clear" w:color="auto" w:fill="FFFFFF"/>
        </w:rPr>
        <w:t xml:space="preserve"> Programmatic Quick Reference Guide</w:t>
      </w:r>
      <w:r w:rsidRPr="00C92A66">
        <w:rPr>
          <w:color w:val="000000"/>
          <w:shd w:val="clear" w:color="auto" w:fill="FFFFFF"/>
        </w:rPr>
        <w:t xml:space="preserve"> describes the Self-Advocacy Training Services and provides an overview of changes to the billing and</w:t>
      </w:r>
      <w:r w:rsidR="00CB2FF3" w:rsidRPr="00C92A66">
        <w:rPr>
          <w:color w:val="000000"/>
          <w:shd w:val="clear" w:color="auto" w:fill="FFFFFF"/>
        </w:rPr>
        <w:t xml:space="preserve"> </w:t>
      </w:r>
      <w:r w:rsidR="002F30D1" w:rsidRPr="00C92A66">
        <w:rPr>
          <w:color w:val="000000"/>
          <w:shd w:val="clear" w:color="auto" w:fill="FFFFFF"/>
        </w:rPr>
        <w:t>progra</w:t>
      </w:r>
      <w:r w:rsidRPr="00C92A66">
        <w:rPr>
          <w:color w:val="000000"/>
          <w:shd w:val="clear" w:color="auto" w:fill="FFFFFF"/>
        </w:rPr>
        <w:t>m</w:t>
      </w:r>
      <w:r w:rsidR="002F30D1" w:rsidRPr="00C92A66">
        <w:rPr>
          <w:color w:val="000000"/>
          <w:shd w:val="clear" w:color="auto" w:fill="FFFFFF"/>
        </w:rPr>
        <w:t xml:space="preserve">matic </w:t>
      </w:r>
      <w:r w:rsidRPr="00C92A66">
        <w:rPr>
          <w:color w:val="000000"/>
          <w:shd w:val="clear" w:color="auto" w:fill="FFFFFF"/>
        </w:rPr>
        <w:t>structure of services</w:t>
      </w:r>
      <w:r w:rsidR="00B354B0">
        <w:rPr>
          <w:color w:val="000000"/>
          <w:shd w:val="clear" w:color="auto" w:fill="FFFFFF"/>
        </w:rPr>
        <w:t xml:space="preserve"> in Aware</w:t>
      </w:r>
      <w:r w:rsidRPr="00C92A66">
        <w:rPr>
          <w:color w:val="000000"/>
          <w:shd w:val="clear" w:color="auto" w:fill="FFFFFF"/>
        </w:rPr>
        <w:t>.</w:t>
      </w:r>
      <w:r w:rsidR="002F30D1" w:rsidRPr="00C92A66">
        <w:rPr>
          <w:color w:val="000000"/>
          <w:shd w:val="clear" w:color="auto" w:fill="FFFFFF"/>
        </w:rPr>
        <w:t xml:space="preserve"> </w:t>
      </w:r>
      <w:r w:rsidR="00547B57" w:rsidRPr="00137A77">
        <w:t xml:space="preserve">A summary chart is </w:t>
      </w:r>
      <w:r w:rsidR="00547B57">
        <w:t>included</w:t>
      </w:r>
      <w:r w:rsidR="00547B57" w:rsidRPr="00137A77">
        <w:t xml:space="preserve"> for your reference to understand the service and the supporting documentation required for payment</w:t>
      </w:r>
      <w:r w:rsidR="004D0F46">
        <w:t>.</w:t>
      </w:r>
    </w:p>
    <w:p w14:paraId="508684B5" w14:textId="77777777" w:rsidR="008133B1" w:rsidRPr="00C92A66" w:rsidRDefault="00D45C82" w:rsidP="008133B1">
      <w:pPr>
        <w:pStyle w:val="Heading3"/>
      </w:pPr>
      <w:r w:rsidRPr="00C92A66">
        <w:t>Definition</w:t>
      </w:r>
      <w:r w:rsidR="404E13F6" w:rsidRPr="00C92A66">
        <w:t xml:space="preserve">: </w:t>
      </w:r>
    </w:p>
    <w:p w14:paraId="63D372C8" w14:textId="58D986D0" w:rsidR="002F30D1" w:rsidRPr="00C92A66" w:rsidRDefault="003A2C9D" w:rsidP="002F30D1">
      <w:r w:rsidRPr="00C92A66">
        <w:rPr>
          <w:b/>
        </w:rPr>
        <w:t>Self-Advocacy</w:t>
      </w:r>
      <w:r w:rsidR="002F30D1" w:rsidRPr="00C92A66">
        <w:t xml:space="preserve"> </w:t>
      </w:r>
      <w:r w:rsidRPr="00C92A66">
        <w:t xml:space="preserve">refers to an individual’s ability to effectively communicate, convey, </w:t>
      </w:r>
      <w:proofErr w:type="gramStart"/>
      <w:r w:rsidRPr="00C92A66">
        <w:t>negotiate</w:t>
      </w:r>
      <w:proofErr w:type="gramEnd"/>
      <w:r w:rsidRPr="00C92A66">
        <w:t xml:space="preserve"> or assert his or her own interests and desires</w:t>
      </w:r>
      <w:r w:rsidR="00A25979">
        <w:t>.</w:t>
      </w:r>
    </w:p>
    <w:p w14:paraId="6D670B9C" w14:textId="78A24F48" w:rsidR="002F30D1" w:rsidRPr="00C92A66" w:rsidRDefault="00C92A66" w:rsidP="002F30D1">
      <w:r w:rsidRPr="00C92A66">
        <w:rPr>
          <w:b/>
        </w:rPr>
        <w:t>Self-Advocacy Training Services</w:t>
      </w:r>
      <w:r w:rsidR="002F30D1" w:rsidRPr="00C92A66">
        <w:t xml:space="preserve"> </w:t>
      </w:r>
      <w:r w:rsidR="003A2C9D" w:rsidRPr="00C92A66">
        <w:t>are designed to prepare individuals to communicate their strengths, goals and needs effectively when applying to postsecondary institutions or potential employers</w:t>
      </w:r>
    </w:p>
    <w:p w14:paraId="3762D66B" w14:textId="61EA03D3" w:rsidR="003A2C9D" w:rsidRDefault="003A2C9D" w:rsidP="373A8FDF">
      <w:pPr>
        <w:spacing w:after="27" w:line="250" w:lineRule="auto"/>
      </w:pPr>
      <w:r>
        <w:t xml:space="preserve">Participants in these services </w:t>
      </w:r>
      <w:r w:rsidR="00C92A66">
        <w:t xml:space="preserve">may be potentially eligible or eligible.  </w:t>
      </w:r>
    </w:p>
    <w:p w14:paraId="7AF896A3" w14:textId="3F1757F0" w:rsidR="003A2C9D" w:rsidRDefault="426C07AF" w:rsidP="15DA23D0">
      <w:pPr>
        <w:spacing w:after="27" w:line="250" w:lineRule="auto"/>
      </w:pPr>
      <w:r>
        <w:t>Potentially eligible p</w:t>
      </w:r>
      <w:r w:rsidR="3AA7B65F" w:rsidRPr="373A8FDF">
        <w:rPr>
          <w:color w:val="333333"/>
        </w:rPr>
        <w:t xml:space="preserve">articipants must meet the definition of a Student with a Disability as defined in Part B of the Individual with Disabilities Act, 34 C.F.R., </w:t>
      </w:r>
      <w:r w:rsidR="3AA7B65F" w:rsidRPr="373A8FDF">
        <w:t>§</w:t>
      </w:r>
      <w:r w:rsidR="3AA7B65F" w:rsidRPr="373A8FDF">
        <w:rPr>
          <w:color w:val="333333"/>
        </w:rPr>
        <w:t xml:space="preserve"> 300.8, and the </w:t>
      </w:r>
      <w:r w:rsidR="3AA7B65F" w:rsidRPr="373A8FDF">
        <w:t xml:space="preserve">Workforce Innovation and Opportunities Act WIOA. The criteria are to:  </w:t>
      </w:r>
    </w:p>
    <w:p w14:paraId="03F047AD" w14:textId="0D82143C" w:rsidR="00C92A66" w:rsidRPr="00C92A66" w:rsidRDefault="3CD6BDA5" w:rsidP="00C92A66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>
        <w:t xml:space="preserve">Must </w:t>
      </w:r>
      <w:r w:rsidR="00C92A66">
        <w:t>be between the ages of 14 and 21 years old</w:t>
      </w:r>
      <w:r w:rsidR="31630FF1">
        <w:t>;</w:t>
      </w:r>
    </w:p>
    <w:p w14:paraId="33FA7896" w14:textId="59340982" w:rsidR="00C92A66" w:rsidRPr="00993CD8" w:rsidRDefault="6A653E83" w:rsidP="00C92A66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>
        <w:t xml:space="preserve">Must </w:t>
      </w:r>
      <w:r w:rsidR="00C92A66">
        <w:t>be enrolled in a formal education program (secondary or postsecondary)</w:t>
      </w:r>
      <w:r w:rsidR="78DD75DC">
        <w:t>; and</w:t>
      </w:r>
    </w:p>
    <w:p w14:paraId="7FD2DD15" w14:textId="4E31CD17" w:rsidR="003A2C9D" w:rsidRDefault="67D29A9B" w:rsidP="00C92A66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>
        <w:t xml:space="preserve">Must </w:t>
      </w:r>
      <w:r w:rsidR="00C92A66">
        <w:t>have a documented disability (IEP, IPE, 504 Plan, or other acceptable documentation</w:t>
      </w:r>
      <w:r w:rsidR="47F7EB6F">
        <w:t xml:space="preserve"> of the disability</w:t>
      </w:r>
      <w:r w:rsidR="00C92A66">
        <w:t>)</w:t>
      </w:r>
    </w:p>
    <w:p w14:paraId="67D6D64C" w14:textId="77777777" w:rsidR="00C92A66" w:rsidRDefault="00C92A66" w:rsidP="00C92A66">
      <w:pPr>
        <w:spacing w:after="27" w:line="250" w:lineRule="auto"/>
        <w:ind w:left="720" w:right="77"/>
        <w:contextualSpacing/>
        <w:jc w:val="both"/>
      </w:pPr>
    </w:p>
    <w:p w14:paraId="043C0DF5" w14:textId="72874296" w:rsidR="7355B223" w:rsidRDefault="7355B223" w:rsidP="373A8FDF">
      <w:pPr>
        <w:spacing w:line="257" w:lineRule="auto"/>
        <w:rPr>
          <w:b/>
          <w:bCs/>
          <w:color w:val="000000" w:themeColor="text1"/>
          <w:sz w:val="22"/>
          <w:szCs w:val="22"/>
        </w:rPr>
      </w:pPr>
      <w:r>
        <w:t xml:space="preserve">Eligible </w:t>
      </w:r>
      <w:r w:rsidR="00D603ED">
        <w:t>participants must be between the ages of 14 and 24 years old</w:t>
      </w:r>
      <w:r w:rsidR="002A0C09">
        <w:t xml:space="preserve"> and have the service indicated on their Individualized Plan for Employment</w:t>
      </w:r>
      <w:r w:rsidR="00D603ED">
        <w:t>.</w:t>
      </w:r>
      <w:r w:rsidR="1F4B064B">
        <w:t xml:space="preserve"> Pursuant to Title 34, section </w:t>
      </w:r>
      <w:r w:rsidR="1F4B064B" w:rsidRPr="373A8FDF">
        <w:rPr>
          <w:color w:val="000000" w:themeColor="text1"/>
          <w:sz w:val="22"/>
          <w:szCs w:val="22"/>
        </w:rPr>
        <w:t xml:space="preserve">34 CFR 361.5(c)(58), Code of </w:t>
      </w:r>
      <w:r w:rsidR="7F5D3D98" w:rsidRPr="373A8FDF">
        <w:rPr>
          <w:color w:val="000000" w:themeColor="text1"/>
          <w:sz w:val="22"/>
          <w:szCs w:val="22"/>
        </w:rPr>
        <w:t>Federal</w:t>
      </w:r>
      <w:r w:rsidR="1F4B064B" w:rsidRPr="373A8FDF">
        <w:rPr>
          <w:color w:val="000000" w:themeColor="text1"/>
          <w:sz w:val="22"/>
          <w:szCs w:val="22"/>
        </w:rPr>
        <w:t xml:space="preserve"> Regulations (C.F.R.), </w:t>
      </w:r>
      <w:r w:rsidR="0D9CA927" w:rsidRPr="373A8FDF">
        <w:rPr>
          <w:b/>
          <w:bCs/>
          <w:color w:val="000000" w:themeColor="text1"/>
          <w:sz w:val="22"/>
          <w:szCs w:val="22"/>
        </w:rPr>
        <w:t xml:space="preserve">Youth with a Disability </w:t>
      </w:r>
      <w:r w:rsidR="709F7C86" w:rsidRPr="373A8FDF">
        <w:rPr>
          <w:color w:val="000000" w:themeColor="text1"/>
          <w:sz w:val="22"/>
          <w:szCs w:val="22"/>
        </w:rPr>
        <w:t>mean</w:t>
      </w:r>
      <w:r w:rsidR="0D9CA927" w:rsidRPr="373A8FDF">
        <w:rPr>
          <w:color w:val="000000" w:themeColor="text1"/>
          <w:sz w:val="22"/>
          <w:szCs w:val="22"/>
        </w:rPr>
        <w:t>s</w:t>
      </w:r>
      <w:r w:rsidR="2A591A95" w:rsidRPr="373A8FDF">
        <w:rPr>
          <w:color w:val="000000" w:themeColor="text1"/>
          <w:sz w:val="22"/>
          <w:szCs w:val="22"/>
        </w:rPr>
        <w:t xml:space="preserve"> </w:t>
      </w:r>
      <w:r w:rsidR="14793893" w:rsidRPr="373A8FDF">
        <w:rPr>
          <w:color w:val="000000" w:themeColor="text1"/>
          <w:sz w:val="22"/>
          <w:szCs w:val="22"/>
        </w:rPr>
        <w:t>an</w:t>
      </w:r>
      <w:r w:rsidR="2A591A95" w:rsidRPr="373A8FDF">
        <w:rPr>
          <w:color w:val="000000" w:themeColor="text1"/>
          <w:sz w:val="22"/>
          <w:szCs w:val="22"/>
        </w:rPr>
        <w:t xml:space="preserve"> individual with a disability who is not younger than 14 years of age </w:t>
      </w:r>
      <w:r w:rsidR="1C7B7836" w:rsidRPr="373A8FDF">
        <w:rPr>
          <w:color w:val="000000" w:themeColor="text1"/>
          <w:sz w:val="22"/>
          <w:szCs w:val="22"/>
        </w:rPr>
        <w:t>and</w:t>
      </w:r>
      <w:r w:rsidR="2A591A95" w:rsidRPr="373A8FDF">
        <w:rPr>
          <w:color w:val="000000" w:themeColor="text1"/>
          <w:sz w:val="22"/>
          <w:szCs w:val="22"/>
        </w:rPr>
        <w:t xml:space="preserve"> older than 24 years of age. These </w:t>
      </w:r>
      <w:r w:rsidR="440386E0" w:rsidRPr="373A8FDF">
        <w:rPr>
          <w:color w:val="000000" w:themeColor="text1"/>
          <w:sz w:val="22"/>
          <w:szCs w:val="22"/>
        </w:rPr>
        <w:t>Youth</w:t>
      </w:r>
      <w:r w:rsidR="2A591A95" w:rsidRPr="373A8FDF">
        <w:rPr>
          <w:color w:val="000000" w:themeColor="text1"/>
          <w:sz w:val="22"/>
          <w:szCs w:val="22"/>
        </w:rPr>
        <w:t xml:space="preserve"> m</w:t>
      </w:r>
      <w:r w:rsidR="0D9CA927" w:rsidRPr="373A8FDF">
        <w:rPr>
          <w:color w:val="000000" w:themeColor="text1"/>
          <w:sz w:val="22"/>
          <w:szCs w:val="22"/>
        </w:rPr>
        <w:t>ay or may not be participating in an educational program but may apply to receive Transition Youth Services.</w:t>
      </w:r>
    </w:p>
    <w:p w14:paraId="6180E7AD" w14:textId="727C8D53" w:rsidR="008133B1" w:rsidRDefault="00547B57" w:rsidP="00422040">
      <w:pPr>
        <w:pStyle w:val="Heading3"/>
      </w:pPr>
      <w:r>
        <w:t>Overview of changes</w:t>
      </w:r>
      <w:r w:rsidR="3E80AAA1" w:rsidRPr="008133B1">
        <w:t>:</w:t>
      </w:r>
      <w:r w:rsidR="00EE246F" w:rsidRPr="008133B1">
        <w:t xml:space="preserve"> </w:t>
      </w:r>
    </w:p>
    <w:p w14:paraId="3E12E832" w14:textId="6215EBAC" w:rsidR="002A0C09" w:rsidRDefault="002A0C09" w:rsidP="007E1965">
      <w:r>
        <w:t xml:space="preserve">Self-Advocacy Training Services, as authorized in Aware, </w:t>
      </w:r>
      <w:r w:rsidR="00160E45" w:rsidRPr="00160E45">
        <w:t>involve a series of stand-alone courses covering three distinct topic areas. It is recommended</w:t>
      </w:r>
      <w:r>
        <w:t>, but not required,</w:t>
      </w:r>
      <w:r w:rsidR="00160E45" w:rsidRPr="00160E45">
        <w:t xml:space="preserve"> that these courses be </w:t>
      </w:r>
      <w:r w:rsidR="00160E45" w:rsidRPr="00160E45">
        <w:lastRenderedPageBreak/>
        <w:t>taken in order of Self-Awareness, Self-Efficacy and Self-Determination.</w:t>
      </w:r>
      <w:r>
        <w:t xml:space="preserve"> T</w:t>
      </w:r>
      <w:r w:rsidR="00160E45" w:rsidRPr="00160E45">
        <w:t xml:space="preserve">he courses may be taken in any order according to the individual’s need. </w:t>
      </w:r>
    </w:p>
    <w:p w14:paraId="2028DF1B" w14:textId="6C16B461" w:rsidR="00667BB5" w:rsidRPr="008133B1" w:rsidRDefault="00E01E93" w:rsidP="008133B1">
      <w:r>
        <w:t>Vendors</w:t>
      </w:r>
      <w:r w:rsidR="00160E45">
        <w:t xml:space="preserve"> are required to use </w:t>
      </w:r>
      <w:r w:rsidR="00194AF1">
        <w:t>the</w:t>
      </w:r>
      <w:r w:rsidR="00160E45">
        <w:t xml:space="preserve"> curriculum outlined in the Self-Advocacy Curriculum Expectations document</w:t>
      </w:r>
      <w:r w:rsidR="004D0F46">
        <w:t xml:space="preserve"> available through Vendor Registration</w:t>
      </w:r>
      <w:r w:rsidR="00160E45">
        <w:t xml:space="preserve">. </w:t>
      </w:r>
      <w:r w:rsidR="00547B57">
        <w:t>Vendors</w:t>
      </w:r>
      <w:r w:rsidR="00160E45">
        <w:t xml:space="preserve"> are no longer required to document the number of hours spent on each course, </w:t>
      </w:r>
      <w:r w:rsidR="004D0F46">
        <w:t>provided that</w:t>
      </w:r>
      <w:r w:rsidR="00160E45">
        <w:t xml:space="preserve"> all curriculum topics are </w:t>
      </w:r>
      <w:proofErr w:type="gramStart"/>
      <w:r w:rsidR="7B7551C8">
        <w:t>covered</w:t>
      </w:r>
      <w:proofErr w:type="gramEnd"/>
      <w:r w:rsidR="00160E45">
        <w:t xml:space="preserve"> and deliverables are completed. Course fees are paid at a flat rate, regardless of the number of hours required to complete the course. </w:t>
      </w:r>
      <w:r w:rsidR="002A0C09">
        <w:t>Additionally, in Aware, c</w:t>
      </w:r>
      <w:r w:rsidR="00160E45">
        <w:t xml:space="preserve">ourse extension hours are no longer available. </w:t>
      </w:r>
    </w:p>
    <w:p w14:paraId="721B6E41" w14:textId="77777777" w:rsidR="002A0C09" w:rsidRPr="00667BB5" w:rsidRDefault="00667BB5" w:rsidP="002A0C09">
      <w:pPr>
        <w:spacing w:before="240" w:after="0"/>
      </w:pPr>
      <w:r w:rsidRPr="00667BB5">
        <w:rPr>
          <w:b/>
        </w:rPr>
        <w:t>Summary</w:t>
      </w:r>
      <w:r w:rsidRPr="00667BB5">
        <w:t xml:space="preserve"> </w:t>
      </w:r>
      <w:r w:rsidRPr="00667BB5">
        <w:rPr>
          <w:b/>
        </w:rPr>
        <w:t>of Services and Supporting Documentation/Reports</w:t>
      </w:r>
    </w:p>
    <w:tbl>
      <w:tblPr>
        <w:tblStyle w:val="TableGrid"/>
        <w:tblpPr w:leftFromText="187" w:rightFromText="187" w:vertAnchor="text" w:horzAnchor="margin" w:tblpY="253"/>
        <w:tblW w:w="9360" w:type="dxa"/>
        <w:tblLayout w:type="fixed"/>
        <w:tblLook w:val="0420" w:firstRow="1" w:lastRow="0" w:firstColumn="0" w:lastColumn="0" w:noHBand="0" w:noVBand="1"/>
      </w:tblPr>
      <w:tblGrid>
        <w:gridCol w:w="5215"/>
        <w:gridCol w:w="4145"/>
      </w:tblGrid>
      <w:tr w:rsidR="002A0C09" w:rsidRPr="008133B1" w14:paraId="1893C093" w14:textId="77777777" w:rsidTr="002A0C09">
        <w:trPr>
          <w:trHeight w:val="300"/>
        </w:trPr>
        <w:tc>
          <w:tcPr>
            <w:tcW w:w="5215" w:type="dxa"/>
          </w:tcPr>
          <w:p w14:paraId="2161B28B" w14:textId="77777777" w:rsidR="002A0C09" w:rsidRPr="008133B1" w:rsidRDefault="002A0C09" w:rsidP="00847E58">
            <w:pPr>
              <w:rPr>
                <w:b/>
                <w:sz w:val="22"/>
              </w:rPr>
            </w:pPr>
            <w:r>
              <w:rPr>
                <w:b/>
              </w:rPr>
              <w:t>Service</w:t>
            </w:r>
          </w:p>
        </w:tc>
        <w:tc>
          <w:tcPr>
            <w:tcW w:w="4145" w:type="dxa"/>
          </w:tcPr>
          <w:p w14:paraId="3C0B4CF2" w14:textId="77777777" w:rsidR="002A0C09" w:rsidRPr="008133B1" w:rsidRDefault="002A0C09" w:rsidP="00847E58">
            <w:pPr>
              <w:rPr>
                <w:b/>
                <w:bCs/>
                <w:sz w:val="22"/>
                <w:szCs w:val="22"/>
              </w:rPr>
            </w:pPr>
            <w:r w:rsidRPr="7CB4F8F9">
              <w:rPr>
                <w:b/>
                <w:bCs/>
              </w:rPr>
              <w:t>Supporting Documentation/Reports</w:t>
            </w:r>
          </w:p>
        </w:tc>
      </w:tr>
      <w:tr w:rsidR="002A0C09" w:rsidRPr="002562A0" w14:paraId="2C782AD8" w14:textId="77777777" w:rsidTr="002A0C09">
        <w:tblPrEx>
          <w:tblLook w:val="04A0" w:firstRow="1" w:lastRow="0" w:firstColumn="1" w:lastColumn="0" w:noHBand="0" w:noVBand="1"/>
        </w:tblPrEx>
        <w:tc>
          <w:tcPr>
            <w:tcW w:w="5215" w:type="dxa"/>
          </w:tcPr>
          <w:p w14:paraId="774F8703" w14:textId="77777777" w:rsidR="002A0C09" w:rsidRPr="001D77CE" w:rsidRDefault="002A0C09" w:rsidP="00847E58">
            <w:pPr>
              <w:pStyle w:val="ListParagraph"/>
              <w:numPr>
                <w:ilvl w:val="0"/>
                <w:numId w:val="23"/>
              </w:numPr>
            </w:pPr>
            <w:r>
              <w:t>Self-Advocacy Training: Self-Awareness, Y20511 or E20511, $300 flat fee</w:t>
            </w:r>
          </w:p>
        </w:tc>
        <w:tc>
          <w:tcPr>
            <w:tcW w:w="4145" w:type="dxa"/>
          </w:tcPr>
          <w:p w14:paraId="40FB8676" w14:textId="77777777" w:rsidR="002A0C09" w:rsidRDefault="002A0C09" w:rsidP="00847E58">
            <w:pPr>
              <w:pStyle w:val="ListParagraph"/>
              <w:numPr>
                <w:ilvl w:val="0"/>
                <w:numId w:val="27"/>
              </w:numPr>
              <w:rPr>
                <w:szCs w:val="26"/>
              </w:rPr>
            </w:pPr>
            <w:r>
              <w:rPr>
                <w:szCs w:val="26"/>
              </w:rPr>
              <w:t>Summary Reflection Journal</w:t>
            </w:r>
          </w:p>
          <w:p w14:paraId="0C6226D3" w14:textId="77777777" w:rsidR="002A0C09" w:rsidRPr="00D80643" w:rsidRDefault="002A0C09" w:rsidP="00847E58">
            <w:pPr>
              <w:pStyle w:val="ListParagraph"/>
              <w:numPr>
                <w:ilvl w:val="0"/>
                <w:numId w:val="27"/>
              </w:numPr>
              <w:rPr>
                <w:szCs w:val="26"/>
              </w:rPr>
            </w:pPr>
            <w:r>
              <w:rPr>
                <w:szCs w:val="26"/>
              </w:rPr>
              <w:t>Self-Awareness Profile</w:t>
            </w:r>
          </w:p>
        </w:tc>
      </w:tr>
      <w:tr w:rsidR="002A0C09" w:rsidRPr="002562A0" w14:paraId="23CC1E68" w14:textId="77777777" w:rsidTr="002A0C09">
        <w:tblPrEx>
          <w:tblLook w:val="04A0" w:firstRow="1" w:lastRow="0" w:firstColumn="1" w:lastColumn="0" w:noHBand="0" w:noVBand="1"/>
        </w:tblPrEx>
        <w:tc>
          <w:tcPr>
            <w:tcW w:w="5215" w:type="dxa"/>
          </w:tcPr>
          <w:p w14:paraId="1910712B" w14:textId="77777777" w:rsidR="002A0C09" w:rsidRPr="001D77CE" w:rsidRDefault="002A0C09" w:rsidP="00847E58">
            <w:pPr>
              <w:pStyle w:val="ListParagraph"/>
              <w:numPr>
                <w:ilvl w:val="0"/>
                <w:numId w:val="23"/>
              </w:numPr>
            </w:pPr>
            <w:r w:rsidRPr="00C92A66">
              <w:t>Self-Advocacy Training: Self-Efficacy, Y20512 or E20512, $300 flat fee</w:t>
            </w:r>
          </w:p>
        </w:tc>
        <w:tc>
          <w:tcPr>
            <w:tcW w:w="4145" w:type="dxa"/>
          </w:tcPr>
          <w:p w14:paraId="26D24A27" w14:textId="77777777" w:rsidR="002A0C09" w:rsidRPr="00AA4F14" w:rsidRDefault="002A0C09" w:rsidP="00847E58">
            <w:pPr>
              <w:pStyle w:val="ListParagraph"/>
              <w:numPr>
                <w:ilvl w:val="0"/>
                <w:numId w:val="27"/>
              </w:numPr>
              <w:rPr>
                <w:szCs w:val="26"/>
              </w:rPr>
            </w:pPr>
            <w:r w:rsidRPr="00AA4F14">
              <w:rPr>
                <w:szCs w:val="26"/>
              </w:rPr>
              <w:t xml:space="preserve">Summary Reflection Journal </w:t>
            </w:r>
          </w:p>
          <w:p w14:paraId="6C73713D" w14:textId="77777777" w:rsidR="002A0C09" w:rsidRPr="00AA4F14" w:rsidRDefault="002A0C09" w:rsidP="00847E58">
            <w:pPr>
              <w:pStyle w:val="ListParagraph"/>
              <w:numPr>
                <w:ilvl w:val="0"/>
                <w:numId w:val="27"/>
              </w:numPr>
              <w:rPr>
                <w:szCs w:val="26"/>
              </w:rPr>
            </w:pPr>
            <w:r w:rsidRPr="00AA4F14">
              <w:rPr>
                <w:szCs w:val="26"/>
              </w:rPr>
              <w:t xml:space="preserve">Summative Assessment/Mock Interview Rubric </w:t>
            </w:r>
          </w:p>
        </w:tc>
      </w:tr>
      <w:tr w:rsidR="002A0C09" w:rsidRPr="002562A0" w14:paraId="0DA8CEAD" w14:textId="77777777" w:rsidTr="002A0C09">
        <w:tblPrEx>
          <w:tblLook w:val="04A0" w:firstRow="1" w:lastRow="0" w:firstColumn="1" w:lastColumn="0" w:noHBand="0" w:noVBand="1"/>
        </w:tblPrEx>
        <w:tc>
          <w:tcPr>
            <w:tcW w:w="5215" w:type="dxa"/>
          </w:tcPr>
          <w:p w14:paraId="68B74F53" w14:textId="77777777" w:rsidR="002A0C09" w:rsidRPr="001D77CE" w:rsidRDefault="002A0C09" w:rsidP="00847E58">
            <w:pPr>
              <w:numPr>
                <w:ilvl w:val="0"/>
                <w:numId w:val="23"/>
              </w:numPr>
              <w:contextualSpacing/>
            </w:pPr>
            <w:r>
              <w:t>Self-Advocacy Training: Self-Determination, Y20513 or E20513, $300 flat fee</w:t>
            </w:r>
          </w:p>
        </w:tc>
        <w:tc>
          <w:tcPr>
            <w:tcW w:w="4145" w:type="dxa"/>
          </w:tcPr>
          <w:p w14:paraId="5B6B114C" w14:textId="77777777" w:rsidR="002A0C09" w:rsidRPr="00667BB5" w:rsidRDefault="002A0C09" w:rsidP="00847E58">
            <w:pPr>
              <w:pStyle w:val="ListParagraph"/>
              <w:numPr>
                <w:ilvl w:val="0"/>
                <w:numId w:val="27"/>
              </w:numPr>
              <w:rPr>
                <w:rStyle w:val="eop"/>
              </w:rPr>
            </w:pPr>
            <w:r w:rsidRPr="00667BB5">
              <w:rPr>
                <w:rStyle w:val="normaltextrun"/>
                <w:color w:val="000000"/>
                <w:shd w:val="clear" w:color="auto" w:fill="FFFFFF"/>
              </w:rPr>
              <w:t>Summary Reflection Journal</w:t>
            </w:r>
            <w:r w:rsidRPr="00667BB5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5836AE6" w14:textId="77777777" w:rsidR="002A0C09" w:rsidRPr="00137A77" w:rsidRDefault="002A0C09" w:rsidP="00847E58">
            <w:pPr>
              <w:pStyle w:val="ListParagraph"/>
              <w:numPr>
                <w:ilvl w:val="0"/>
                <w:numId w:val="27"/>
              </w:numPr>
              <w:rPr>
                <w:szCs w:val="26"/>
              </w:rPr>
            </w:pPr>
            <w:r w:rsidRPr="00667BB5">
              <w:rPr>
                <w:rStyle w:val="normaltextrun"/>
                <w:color w:val="000000"/>
                <w:bdr w:val="none" w:sz="0" w:space="0" w:color="auto" w:frame="1"/>
              </w:rPr>
              <w:t>Pre- and Post-Assessment</w:t>
            </w:r>
            <w:r w:rsidRPr="00667BB5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hyperlink r:id="rId11" w:anchor="/unit-1/lesson-5/self-determination-scale" w:history="1">
              <w:r w:rsidRPr="00667BB5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AIR Self-Determination Scale</w:t>
              </w:r>
            </w:hyperlink>
            <w:r w:rsidRPr="00667BB5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5C262B77" w14:textId="2D31FF49" w:rsidR="00667BB5" w:rsidRPr="00667BB5" w:rsidRDefault="00667BB5" w:rsidP="00667BB5"/>
    <w:p w14:paraId="31AC6F8D" w14:textId="77777777" w:rsidR="00743C88" w:rsidRDefault="00526B8A" w:rsidP="008133B1">
      <w:pPr>
        <w:pStyle w:val="Heading3"/>
      </w:pPr>
      <w:r>
        <w:t xml:space="preserve">Additional </w:t>
      </w:r>
      <w:r w:rsidR="00EE246F">
        <w:t>Resources:</w:t>
      </w:r>
      <w:r>
        <w:t xml:space="preserve"> </w:t>
      </w:r>
    </w:p>
    <w:p w14:paraId="1B78934E" w14:textId="386465CF" w:rsidR="00A25979" w:rsidRDefault="00A25979" w:rsidP="00A25979">
      <w:r w:rsidRPr="52C5B5B9">
        <w:rPr>
          <w:color w:val="000000" w:themeColor="text1"/>
        </w:rPr>
        <w:t>Programmatic Resource Guide (PORG) documents</w:t>
      </w:r>
      <w:r>
        <w:rPr>
          <w:color w:val="000000" w:themeColor="text1"/>
        </w:rPr>
        <w:t xml:space="preserve">. </w:t>
      </w:r>
      <w:r w:rsidRPr="00866619">
        <w:rPr>
          <w:color w:val="000000" w:themeColor="text1"/>
        </w:rPr>
        <w:t>Programmatic Quick Reference Guide</w:t>
      </w:r>
      <w:r>
        <w:rPr>
          <w:color w:val="000000" w:themeColor="text1"/>
        </w:rPr>
        <w:t xml:space="preserve">s, and Forms can be found at: </w:t>
      </w:r>
      <w:r w:rsidRPr="52C5B5B9">
        <w:rPr>
          <w:color w:val="000000" w:themeColor="text1"/>
        </w:rPr>
        <w:t xml:space="preserve"> </w:t>
      </w:r>
      <w:hyperlink r:id="rId12" w:history="1">
        <w:r w:rsidR="007E1965" w:rsidRPr="00920BAC">
          <w:rPr>
            <w:rStyle w:val="Hyperlink"/>
          </w:rPr>
          <w:t>https://rehabworks.org/providers/forms-resources.html</w:t>
        </w:r>
      </w:hyperlink>
      <w:r w:rsidR="007E1965">
        <w:t xml:space="preserve"> </w:t>
      </w:r>
      <w:r>
        <w:t xml:space="preserve"> </w:t>
      </w:r>
    </w:p>
    <w:p w14:paraId="1C0544EB" w14:textId="243C52F4" w:rsidR="00A25979" w:rsidRDefault="00000000" w:rsidP="7CB4F8F9">
      <w:pPr>
        <w:keepNext/>
        <w:keepLines/>
        <w:spacing w:before="40" w:after="0" w:line="250" w:lineRule="auto"/>
        <w:ind w:right="77"/>
        <w:jc w:val="both"/>
        <w:outlineLvl w:val="1"/>
      </w:pPr>
      <w:hyperlink r:id="rId13" w:history="1">
        <w:r w:rsidR="002A0C09" w:rsidRPr="002A0C09">
          <w:rPr>
            <w:rStyle w:val="Hyperlink"/>
          </w:rPr>
          <w:t>Stevens Amendment Language | Vocational Rehabilitation | Florida Department of Education (rehabworks.org)</w:t>
        </w:r>
      </w:hyperlink>
    </w:p>
    <w:p w14:paraId="34C0AF7E" w14:textId="19B1D779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31751921" w14:textId="44432880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5F759DD3" w14:textId="3BE40216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3530ED2B" w14:textId="25596720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71D5FF3A" w14:textId="56D99600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745C6E77" w14:textId="2D30F37B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0266E63A" w14:textId="7CA035D8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31912219" w14:textId="2723F8D5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2A0DCCBC" w14:textId="77777777" w:rsidR="00C92A66" w:rsidRDefault="00C92A66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p w14:paraId="02EB378F" w14:textId="77777777" w:rsidR="00DB08DA" w:rsidRDefault="00DB08DA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18"/>
          <w:szCs w:val="22"/>
        </w:rPr>
      </w:pPr>
    </w:p>
    <w:sectPr w:rsidR="00DB08DA" w:rsidSect="008133B1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0DF3" w14:textId="77777777" w:rsidR="007F5F78" w:rsidRDefault="007F5F78" w:rsidP="008133B1">
      <w:r>
        <w:separator/>
      </w:r>
    </w:p>
  </w:endnote>
  <w:endnote w:type="continuationSeparator" w:id="0">
    <w:p w14:paraId="740E9D1E" w14:textId="77777777" w:rsidR="007F5F78" w:rsidRDefault="007F5F78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CB4" w14:textId="77777777" w:rsidR="00B8390C" w:rsidRDefault="00362CA5" w:rsidP="008133B1">
    <w:r>
      <w:t xml:space="preserve">Revised August 2019 </w:t>
    </w:r>
  </w:p>
  <w:p w14:paraId="0D0B940D" w14:textId="77777777" w:rsidR="008C1A48" w:rsidRDefault="008C1A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60AD" w14:textId="34709BE7" w:rsidR="008133B1" w:rsidRPr="008133B1" w:rsidRDefault="00FC05FA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t>Self-Advocacy Training</w:t>
    </w:r>
    <w:r w:rsidR="002F30D1">
      <w:rPr>
        <w:sz w:val="20"/>
      </w:rPr>
      <w:t xml:space="preserve"> Services </w:t>
    </w:r>
    <w:r w:rsidR="006715E2">
      <w:rPr>
        <w:sz w:val="20"/>
      </w:rPr>
      <w:t xml:space="preserve">Programmatic </w:t>
    </w:r>
    <w:r w:rsidR="008133B1">
      <w:rPr>
        <w:sz w:val="20"/>
      </w:rPr>
      <w:t xml:space="preserve">Quick Reference Guide </w:t>
    </w:r>
    <w:r w:rsidR="008133B1" w:rsidRPr="008133B1">
      <w:rPr>
        <w:sz w:val="20"/>
      </w:rPr>
      <w:t xml:space="preserve">(rev. </w:t>
    </w:r>
    <w:r w:rsidR="00187A61">
      <w:rPr>
        <w:sz w:val="20"/>
      </w:rPr>
      <w:t>0</w:t>
    </w:r>
    <w:r w:rsidR="00667BB5">
      <w:rPr>
        <w:sz w:val="20"/>
      </w:rPr>
      <w:t>4</w:t>
    </w:r>
    <w:r w:rsidR="008133B1" w:rsidRPr="008133B1">
      <w:rPr>
        <w:sz w:val="20"/>
      </w:rPr>
      <w:t>/</w:t>
    </w:r>
    <w:r w:rsidR="00187A61">
      <w:rPr>
        <w:sz w:val="20"/>
      </w:rPr>
      <w:t>2023</w:t>
    </w:r>
    <w:r w:rsidR="008133B1" w:rsidRPr="008133B1">
      <w:rPr>
        <w:sz w:val="20"/>
      </w:rPr>
      <w:t>)</w:t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B354B0">
      <w:rPr>
        <w:noProof/>
        <w:sz w:val="20"/>
      </w:rPr>
      <w:t>1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B354B0">
      <w:rPr>
        <w:noProof/>
        <w:sz w:val="20"/>
      </w:rPr>
      <w:t>2</w:t>
    </w:r>
    <w:r w:rsidR="00C16477" w:rsidRPr="008133B1">
      <w:rPr>
        <w:noProof/>
        <w:sz w:val="20"/>
      </w:rPr>
      <w:fldChar w:fldCharType="end"/>
    </w:r>
  </w:p>
  <w:p w14:paraId="72A3D3EC" w14:textId="77777777" w:rsidR="008C1A48" w:rsidRDefault="008C1A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31CB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FAF9" w14:textId="77777777" w:rsidR="007F5F78" w:rsidRDefault="007F5F78" w:rsidP="008133B1">
      <w:r>
        <w:separator/>
      </w:r>
    </w:p>
  </w:footnote>
  <w:footnote w:type="continuationSeparator" w:id="0">
    <w:p w14:paraId="5BF3BE2D" w14:textId="77777777" w:rsidR="007F5F78" w:rsidRDefault="007F5F78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C902" w14:textId="00C1AB29" w:rsidR="00526B8A" w:rsidRPr="008133B1" w:rsidRDefault="008133B1" w:rsidP="008133B1">
    <w:pPr>
      <w:pStyle w:val="Heading2"/>
    </w:pPr>
    <w:r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5360D12B" wp14:editId="4CB9F1A4">
          <wp:simplePos x="0" y="0"/>
          <wp:positionH relativeFrom="margin">
            <wp:posOffset>-298450</wp:posOffset>
          </wp:positionH>
          <wp:positionV relativeFrom="margin">
            <wp:posOffset>-644525</wp:posOffset>
          </wp:positionV>
          <wp:extent cx="2153393" cy="4572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C9D">
      <w:t>Self-Advocacy Training</w:t>
    </w:r>
  </w:p>
  <w:p w14:paraId="34310856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  <w:p w14:paraId="0E27B00A" w14:textId="77777777" w:rsidR="008C1A48" w:rsidRDefault="008C1A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419B2"/>
    <w:multiLevelType w:val="hybridMultilevel"/>
    <w:tmpl w:val="3076A48E"/>
    <w:lvl w:ilvl="0" w:tplc="8614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33D1E"/>
    <w:multiLevelType w:val="hybridMultilevel"/>
    <w:tmpl w:val="B6C8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1F1E"/>
    <w:multiLevelType w:val="hybridMultilevel"/>
    <w:tmpl w:val="5C3E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765D5C"/>
    <w:multiLevelType w:val="hybridMultilevel"/>
    <w:tmpl w:val="D010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 w15:restartNumberingAfterBreak="0">
    <w:nsid w:val="3F8C15DD"/>
    <w:multiLevelType w:val="hybridMultilevel"/>
    <w:tmpl w:val="F16E8F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7CC1082"/>
    <w:multiLevelType w:val="multilevel"/>
    <w:tmpl w:val="07C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ED4863"/>
    <w:multiLevelType w:val="hybridMultilevel"/>
    <w:tmpl w:val="85F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17978"/>
    <w:multiLevelType w:val="hybridMultilevel"/>
    <w:tmpl w:val="732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6" w15:restartNumberingAfterBreak="0">
    <w:nsid w:val="5FB141F9"/>
    <w:multiLevelType w:val="hybridMultilevel"/>
    <w:tmpl w:val="C97C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E4C06"/>
    <w:multiLevelType w:val="hybridMultilevel"/>
    <w:tmpl w:val="DDBA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67205"/>
    <w:multiLevelType w:val="hybridMultilevel"/>
    <w:tmpl w:val="E618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6B57"/>
    <w:multiLevelType w:val="multilevel"/>
    <w:tmpl w:val="939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A7496"/>
    <w:multiLevelType w:val="hybridMultilevel"/>
    <w:tmpl w:val="EFF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17358">
    <w:abstractNumId w:val="21"/>
  </w:num>
  <w:num w:numId="2" w16cid:durableId="1560167133">
    <w:abstractNumId w:val="23"/>
  </w:num>
  <w:num w:numId="3" w16cid:durableId="734011882">
    <w:abstractNumId w:val="1"/>
  </w:num>
  <w:num w:numId="4" w16cid:durableId="664360965">
    <w:abstractNumId w:val="20"/>
  </w:num>
  <w:num w:numId="5" w16cid:durableId="120002308">
    <w:abstractNumId w:val="22"/>
  </w:num>
  <w:num w:numId="6" w16cid:durableId="940642639">
    <w:abstractNumId w:val="7"/>
  </w:num>
  <w:num w:numId="7" w16cid:durableId="1866600731">
    <w:abstractNumId w:val="3"/>
  </w:num>
  <w:num w:numId="8" w16cid:durableId="2112699817">
    <w:abstractNumId w:val="24"/>
  </w:num>
  <w:num w:numId="9" w16cid:durableId="572548994">
    <w:abstractNumId w:val="10"/>
  </w:num>
  <w:num w:numId="10" w16cid:durableId="1994287429">
    <w:abstractNumId w:val="9"/>
  </w:num>
  <w:num w:numId="11" w16cid:durableId="1503086438">
    <w:abstractNumId w:val="15"/>
  </w:num>
  <w:num w:numId="12" w16cid:durableId="1489398328">
    <w:abstractNumId w:val="0"/>
  </w:num>
  <w:num w:numId="13" w16cid:durableId="850219730">
    <w:abstractNumId w:val="5"/>
  </w:num>
  <w:num w:numId="14" w16cid:durableId="784613135">
    <w:abstractNumId w:val="25"/>
  </w:num>
  <w:num w:numId="15" w16cid:durableId="2129620534">
    <w:abstractNumId w:val="13"/>
  </w:num>
  <w:num w:numId="16" w16cid:durableId="389959585">
    <w:abstractNumId w:val="14"/>
  </w:num>
  <w:num w:numId="17" w16cid:durableId="1095513847">
    <w:abstractNumId w:val="18"/>
  </w:num>
  <w:num w:numId="18" w16cid:durableId="1151217342">
    <w:abstractNumId w:val="17"/>
  </w:num>
  <w:num w:numId="19" w16cid:durableId="544654">
    <w:abstractNumId w:val="2"/>
  </w:num>
  <w:num w:numId="20" w16cid:durableId="1052919623">
    <w:abstractNumId w:val="4"/>
  </w:num>
  <w:num w:numId="21" w16cid:durableId="2114276971">
    <w:abstractNumId w:val="6"/>
  </w:num>
  <w:num w:numId="22" w16cid:durableId="360866361">
    <w:abstractNumId w:val="8"/>
  </w:num>
  <w:num w:numId="23" w16cid:durableId="1622110367">
    <w:abstractNumId w:val="26"/>
  </w:num>
  <w:num w:numId="24" w16cid:durableId="1328822468">
    <w:abstractNumId w:val="19"/>
  </w:num>
  <w:num w:numId="25" w16cid:durableId="803232162">
    <w:abstractNumId w:val="12"/>
  </w:num>
  <w:num w:numId="26" w16cid:durableId="389811842">
    <w:abstractNumId w:val="11"/>
  </w:num>
  <w:num w:numId="27" w16cid:durableId="6268173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ZEeI7bElTgZ841FNyl+iHiiZ+UzfcVfcQIiYcHw3rGDQRsuTUS8MY2Rb9jBTTC0QdqrffdVjI7Y71Rbn+UR5Q==" w:salt="y/ic+AeR7ZF8BZIroKYx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05472E"/>
    <w:rsid w:val="00116749"/>
    <w:rsid w:val="00157B20"/>
    <w:rsid w:val="00160E45"/>
    <w:rsid w:val="001733F2"/>
    <w:rsid w:val="00182FE7"/>
    <w:rsid w:val="00187A61"/>
    <w:rsid w:val="00194AF1"/>
    <w:rsid w:val="001C263B"/>
    <w:rsid w:val="001E25E0"/>
    <w:rsid w:val="002321FC"/>
    <w:rsid w:val="00261EE0"/>
    <w:rsid w:val="0028402A"/>
    <w:rsid w:val="002867DE"/>
    <w:rsid w:val="002A0C09"/>
    <w:rsid w:val="002A53C1"/>
    <w:rsid w:val="002A5A04"/>
    <w:rsid w:val="002F30D1"/>
    <w:rsid w:val="00307F12"/>
    <w:rsid w:val="00341592"/>
    <w:rsid w:val="00362CA5"/>
    <w:rsid w:val="003A2C9D"/>
    <w:rsid w:val="003F05DB"/>
    <w:rsid w:val="00407610"/>
    <w:rsid w:val="00422040"/>
    <w:rsid w:val="00423613"/>
    <w:rsid w:val="00476AC5"/>
    <w:rsid w:val="004D0F46"/>
    <w:rsid w:val="004E2EA7"/>
    <w:rsid w:val="00505813"/>
    <w:rsid w:val="00520FAD"/>
    <w:rsid w:val="00524B97"/>
    <w:rsid w:val="00526B8A"/>
    <w:rsid w:val="00543B93"/>
    <w:rsid w:val="00547B57"/>
    <w:rsid w:val="0055015D"/>
    <w:rsid w:val="00560C5C"/>
    <w:rsid w:val="005B0D05"/>
    <w:rsid w:val="00634D40"/>
    <w:rsid w:val="00667BB5"/>
    <w:rsid w:val="006715E2"/>
    <w:rsid w:val="006A49EF"/>
    <w:rsid w:val="006B5C90"/>
    <w:rsid w:val="006C74FC"/>
    <w:rsid w:val="006D349B"/>
    <w:rsid w:val="006E0AD3"/>
    <w:rsid w:val="006E46E6"/>
    <w:rsid w:val="00743C88"/>
    <w:rsid w:val="007C0281"/>
    <w:rsid w:val="007C6F41"/>
    <w:rsid w:val="007D6645"/>
    <w:rsid w:val="007E1965"/>
    <w:rsid w:val="007F5F78"/>
    <w:rsid w:val="0080111D"/>
    <w:rsid w:val="008133B1"/>
    <w:rsid w:val="00823B67"/>
    <w:rsid w:val="00866469"/>
    <w:rsid w:val="008C1A48"/>
    <w:rsid w:val="008D4C5E"/>
    <w:rsid w:val="009264BF"/>
    <w:rsid w:val="00974E2C"/>
    <w:rsid w:val="00981153"/>
    <w:rsid w:val="00993CD8"/>
    <w:rsid w:val="009D51AA"/>
    <w:rsid w:val="009D5DA8"/>
    <w:rsid w:val="009F10DF"/>
    <w:rsid w:val="009F6163"/>
    <w:rsid w:val="00A03577"/>
    <w:rsid w:val="00A13684"/>
    <w:rsid w:val="00A229CA"/>
    <w:rsid w:val="00A25979"/>
    <w:rsid w:val="00A54F62"/>
    <w:rsid w:val="00A77378"/>
    <w:rsid w:val="00AF3C40"/>
    <w:rsid w:val="00B00D5E"/>
    <w:rsid w:val="00B16E6D"/>
    <w:rsid w:val="00B22E9A"/>
    <w:rsid w:val="00B354B0"/>
    <w:rsid w:val="00B44F8E"/>
    <w:rsid w:val="00B638BF"/>
    <w:rsid w:val="00B8390C"/>
    <w:rsid w:val="00B973C9"/>
    <w:rsid w:val="00BA7EBD"/>
    <w:rsid w:val="00BF192D"/>
    <w:rsid w:val="00BF4352"/>
    <w:rsid w:val="00C16477"/>
    <w:rsid w:val="00C92A66"/>
    <w:rsid w:val="00CB2FF3"/>
    <w:rsid w:val="00D05055"/>
    <w:rsid w:val="00D41586"/>
    <w:rsid w:val="00D41634"/>
    <w:rsid w:val="00D45C82"/>
    <w:rsid w:val="00D603ED"/>
    <w:rsid w:val="00D745C7"/>
    <w:rsid w:val="00DB08DA"/>
    <w:rsid w:val="00DB452F"/>
    <w:rsid w:val="00DE66C7"/>
    <w:rsid w:val="00E01BC4"/>
    <w:rsid w:val="00E01E93"/>
    <w:rsid w:val="00E04478"/>
    <w:rsid w:val="00E9379F"/>
    <w:rsid w:val="00EE246F"/>
    <w:rsid w:val="00EE33F4"/>
    <w:rsid w:val="00EF72B1"/>
    <w:rsid w:val="00F86D42"/>
    <w:rsid w:val="00FA4BB6"/>
    <w:rsid w:val="00FB3C54"/>
    <w:rsid w:val="00FB7091"/>
    <w:rsid w:val="00FC05FA"/>
    <w:rsid w:val="00FC52CE"/>
    <w:rsid w:val="019BAF01"/>
    <w:rsid w:val="0204D5B4"/>
    <w:rsid w:val="02EFCF01"/>
    <w:rsid w:val="0308F75E"/>
    <w:rsid w:val="0445B854"/>
    <w:rsid w:val="05874FDB"/>
    <w:rsid w:val="069A954F"/>
    <w:rsid w:val="06C1D07C"/>
    <w:rsid w:val="07BA44E5"/>
    <w:rsid w:val="08351E09"/>
    <w:rsid w:val="0949C230"/>
    <w:rsid w:val="09BD087D"/>
    <w:rsid w:val="0A4198A1"/>
    <w:rsid w:val="0B6B8F07"/>
    <w:rsid w:val="0BDD6902"/>
    <w:rsid w:val="0BFC777F"/>
    <w:rsid w:val="0C0477EC"/>
    <w:rsid w:val="0C9E9ECD"/>
    <w:rsid w:val="0D9CA927"/>
    <w:rsid w:val="0F492A6D"/>
    <w:rsid w:val="0FC46C31"/>
    <w:rsid w:val="0FE35CF5"/>
    <w:rsid w:val="1026519C"/>
    <w:rsid w:val="102C4A01"/>
    <w:rsid w:val="124CAA86"/>
    <w:rsid w:val="138B8589"/>
    <w:rsid w:val="13F9B5BE"/>
    <w:rsid w:val="14793893"/>
    <w:rsid w:val="14A9B0B2"/>
    <w:rsid w:val="14AD55D9"/>
    <w:rsid w:val="15DA23D0"/>
    <w:rsid w:val="17F3A1BC"/>
    <w:rsid w:val="1848F273"/>
    <w:rsid w:val="18BEEB7B"/>
    <w:rsid w:val="1A1D4E5C"/>
    <w:rsid w:val="1C7B7836"/>
    <w:rsid w:val="1CA39242"/>
    <w:rsid w:val="1CFF1495"/>
    <w:rsid w:val="1E3F62A3"/>
    <w:rsid w:val="1EA70211"/>
    <w:rsid w:val="1EAF88D7"/>
    <w:rsid w:val="1EEF2F79"/>
    <w:rsid w:val="1F4B064B"/>
    <w:rsid w:val="1FE76128"/>
    <w:rsid w:val="1FEC6359"/>
    <w:rsid w:val="21770365"/>
    <w:rsid w:val="22867E6B"/>
    <w:rsid w:val="228DC3D6"/>
    <w:rsid w:val="2312D3C6"/>
    <w:rsid w:val="237A7334"/>
    <w:rsid w:val="23ECCB53"/>
    <w:rsid w:val="248AE45D"/>
    <w:rsid w:val="24AEA427"/>
    <w:rsid w:val="25164395"/>
    <w:rsid w:val="253BA3A7"/>
    <w:rsid w:val="25F07984"/>
    <w:rsid w:val="26069212"/>
    <w:rsid w:val="27363F73"/>
    <w:rsid w:val="27C08400"/>
    <w:rsid w:val="27C21541"/>
    <w:rsid w:val="27E644E9"/>
    <w:rsid w:val="282A4332"/>
    <w:rsid w:val="2982154A"/>
    <w:rsid w:val="2A591A95"/>
    <w:rsid w:val="2A5C0CD7"/>
    <w:rsid w:val="2AC3EAA7"/>
    <w:rsid w:val="2C22D8F3"/>
    <w:rsid w:val="2CAD8534"/>
    <w:rsid w:val="2CB48DF0"/>
    <w:rsid w:val="2CE44B2C"/>
    <w:rsid w:val="2D93AD99"/>
    <w:rsid w:val="2E5D73F3"/>
    <w:rsid w:val="2F415158"/>
    <w:rsid w:val="30CB4E5B"/>
    <w:rsid w:val="31630FF1"/>
    <w:rsid w:val="3219F06E"/>
    <w:rsid w:val="3349B7E2"/>
    <w:rsid w:val="344DC2E1"/>
    <w:rsid w:val="359EBF7E"/>
    <w:rsid w:val="35B03FDE"/>
    <w:rsid w:val="35FFED7F"/>
    <w:rsid w:val="360701F5"/>
    <w:rsid w:val="373A8FDF"/>
    <w:rsid w:val="384B82AC"/>
    <w:rsid w:val="387ED87C"/>
    <w:rsid w:val="39462B96"/>
    <w:rsid w:val="3977E1CA"/>
    <w:rsid w:val="39A88C34"/>
    <w:rsid w:val="3A7A1E27"/>
    <w:rsid w:val="3A8403FF"/>
    <w:rsid w:val="3AA7B65F"/>
    <w:rsid w:val="3B3BF6FB"/>
    <w:rsid w:val="3B5E9E95"/>
    <w:rsid w:val="3B668C1B"/>
    <w:rsid w:val="3C34DF4C"/>
    <w:rsid w:val="3C7DCC58"/>
    <w:rsid w:val="3CD6BDA5"/>
    <w:rsid w:val="3CE68743"/>
    <w:rsid w:val="3E80AAA1"/>
    <w:rsid w:val="3F6C800E"/>
    <w:rsid w:val="400F2298"/>
    <w:rsid w:val="404E13F6"/>
    <w:rsid w:val="40E95FAB"/>
    <w:rsid w:val="411920B1"/>
    <w:rsid w:val="412B950C"/>
    <w:rsid w:val="42134BDB"/>
    <w:rsid w:val="426C07AF"/>
    <w:rsid w:val="42C55835"/>
    <w:rsid w:val="43394346"/>
    <w:rsid w:val="440386E0"/>
    <w:rsid w:val="44C98178"/>
    <w:rsid w:val="46F75BAE"/>
    <w:rsid w:val="47F7EB6F"/>
    <w:rsid w:val="486B54E6"/>
    <w:rsid w:val="49E0DF84"/>
    <w:rsid w:val="4B1D3D92"/>
    <w:rsid w:val="4BCD8001"/>
    <w:rsid w:val="4BE5B786"/>
    <w:rsid w:val="4C751D6A"/>
    <w:rsid w:val="4D188046"/>
    <w:rsid w:val="4E30252A"/>
    <w:rsid w:val="4E98ACBC"/>
    <w:rsid w:val="4EDEF049"/>
    <w:rsid w:val="4F0520C3"/>
    <w:rsid w:val="4FCBF58B"/>
    <w:rsid w:val="50A0F124"/>
    <w:rsid w:val="51905A7E"/>
    <w:rsid w:val="51EBF169"/>
    <w:rsid w:val="549F66AE"/>
    <w:rsid w:val="54A526F3"/>
    <w:rsid w:val="54CB02D9"/>
    <w:rsid w:val="54F697DA"/>
    <w:rsid w:val="5511BECD"/>
    <w:rsid w:val="55F3AC7A"/>
    <w:rsid w:val="56A2AE44"/>
    <w:rsid w:val="5763D0AC"/>
    <w:rsid w:val="59CDB6ED"/>
    <w:rsid w:val="5D1CD0B2"/>
    <w:rsid w:val="5D5F9294"/>
    <w:rsid w:val="5D84AE82"/>
    <w:rsid w:val="5EEB8484"/>
    <w:rsid w:val="6053F2F8"/>
    <w:rsid w:val="60547174"/>
    <w:rsid w:val="625AD2D5"/>
    <w:rsid w:val="632D7FE5"/>
    <w:rsid w:val="63FEA81F"/>
    <w:rsid w:val="647CE3B5"/>
    <w:rsid w:val="66EA9142"/>
    <w:rsid w:val="6762B095"/>
    <w:rsid w:val="67D29A9B"/>
    <w:rsid w:val="685BD381"/>
    <w:rsid w:val="6932C8F0"/>
    <w:rsid w:val="6A38E622"/>
    <w:rsid w:val="6A653E83"/>
    <w:rsid w:val="6C35E859"/>
    <w:rsid w:val="6C6A69B2"/>
    <w:rsid w:val="6DEE8EAB"/>
    <w:rsid w:val="6FA20A74"/>
    <w:rsid w:val="6FA9F7FA"/>
    <w:rsid w:val="709F7C86"/>
    <w:rsid w:val="726B0D23"/>
    <w:rsid w:val="72D9AB36"/>
    <w:rsid w:val="72F2D393"/>
    <w:rsid w:val="7355B223"/>
    <w:rsid w:val="73750B3C"/>
    <w:rsid w:val="74969BFC"/>
    <w:rsid w:val="74A4D2B0"/>
    <w:rsid w:val="74E52F6E"/>
    <w:rsid w:val="760BE7C0"/>
    <w:rsid w:val="76E26751"/>
    <w:rsid w:val="775B084D"/>
    <w:rsid w:val="77B3F2DC"/>
    <w:rsid w:val="78DD75DC"/>
    <w:rsid w:val="78E17676"/>
    <w:rsid w:val="79621517"/>
    <w:rsid w:val="7A0FF7F9"/>
    <w:rsid w:val="7A681A7D"/>
    <w:rsid w:val="7A9E7D53"/>
    <w:rsid w:val="7AE4BD1B"/>
    <w:rsid w:val="7AEC121A"/>
    <w:rsid w:val="7B03A702"/>
    <w:rsid w:val="7B7551C8"/>
    <w:rsid w:val="7B98A07F"/>
    <w:rsid w:val="7BC7B832"/>
    <w:rsid w:val="7C808D7C"/>
    <w:rsid w:val="7C887B02"/>
    <w:rsid w:val="7C99B5D9"/>
    <w:rsid w:val="7CB4F8F9"/>
    <w:rsid w:val="7E01FB6F"/>
    <w:rsid w:val="7F47D39F"/>
    <w:rsid w:val="7F5D3D98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24A05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E01E93"/>
  </w:style>
  <w:style w:type="character" w:customStyle="1" w:styleId="eop">
    <w:name w:val="eop"/>
    <w:basedOn w:val="DefaultParagraphFont"/>
    <w:rsid w:val="00E01E93"/>
  </w:style>
  <w:style w:type="character" w:styleId="UnresolvedMention">
    <w:name w:val="Unresolved Mention"/>
    <w:basedOn w:val="DefaultParagraphFont"/>
    <w:uiPriority w:val="99"/>
    <w:semiHidden/>
    <w:unhideWhenUsed/>
    <w:rsid w:val="007E19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0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habworks.org/stevens-amendment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habworks.org/providers/forms-resources.htm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ctstfolio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B7F5223704F921E779409A6E968" ma:contentTypeVersion="5" ma:contentTypeDescription="Create a new document." ma:contentTypeScope="" ma:versionID="fb6573324253fc28c16162cc74232358">
  <xsd:schema xmlns:xsd="http://www.w3.org/2001/XMLSchema" xmlns:xs="http://www.w3.org/2001/XMLSchema" xmlns:p="http://schemas.microsoft.com/office/2006/metadata/properties" xmlns:ns2="89dfe10b-6439-4225-9b2e-d40b3406bf32" xmlns:ns3="a776d6b2-f5da-4296-81a0-d3494cf63d7e" targetNamespace="http://schemas.microsoft.com/office/2006/metadata/properties" ma:root="true" ma:fieldsID="608c590632fdba094572f1ca2bd908c3" ns2:_="" ns3:_="">
    <xsd:import namespace="89dfe10b-6439-4225-9b2e-d40b3406bf32"/>
    <xsd:import namespace="a776d6b2-f5da-4296-81a0-d3494cf63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e10b-6439-4225-9b2e-d40b3406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d6b2-f5da-4296-81a0-d3494cf6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B7567-74DA-454C-8B98-F58DE996D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1FF70-7A26-4A9D-8C4A-17EE42734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e10b-6439-4225-9b2e-d40b3406bf32"/>
    <ds:schemaRef ds:uri="a776d6b2-f5da-4296-81a0-d3494cf6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E7445-B00C-4CBA-9C5E-5925CE17D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8</DocSecurity>
  <Lines>27</Lines>
  <Paragraphs>7</Paragraphs>
  <ScaleCrop>false</ScaleCrop>
  <Company>Division of Vocational Rehabilitation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Valdivieso, Johana</cp:lastModifiedBy>
  <cp:revision>7</cp:revision>
  <cp:lastPrinted>2023-03-20T16:21:00Z</cp:lastPrinted>
  <dcterms:created xsi:type="dcterms:W3CDTF">2023-04-27T21:12:00Z</dcterms:created>
  <dcterms:modified xsi:type="dcterms:W3CDTF">2023-09-01T15:33:00Z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0x010100469DEB7F5223704F921E779409A6E968</vt:lpwstr>
  </property>
</Properties>
</file>